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7E7" w:rsidRDefault="006D37E7" w:rsidP="006D37E7">
      <w:pPr>
        <w:jc w:val="center"/>
        <w:rPr>
          <w:rFonts w:ascii="Calibri Light" w:hAnsi="Calibri Light"/>
          <w:b/>
          <w:sz w:val="22"/>
          <w:szCs w:val="22"/>
        </w:rPr>
      </w:pPr>
      <w:r w:rsidRPr="005E6C07">
        <w:rPr>
          <w:rFonts w:ascii="Calibri Light" w:hAnsi="Calibri Light" w:cs="Arial"/>
          <w:b/>
          <w:noProof/>
          <w:sz w:val="22"/>
          <w:szCs w:val="22"/>
          <w:lang w:eastAsia="pt-BR"/>
        </w:rPr>
        <w:drawing>
          <wp:inline distT="0" distB="0" distL="0" distR="0">
            <wp:extent cx="787400" cy="8636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636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7E7" w:rsidRPr="005E6C07" w:rsidRDefault="006D37E7" w:rsidP="006D37E7">
      <w:pPr>
        <w:jc w:val="center"/>
        <w:rPr>
          <w:rFonts w:ascii="Calibri Light" w:hAnsi="Calibri Light"/>
          <w:b/>
          <w:sz w:val="22"/>
          <w:szCs w:val="22"/>
        </w:rPr>
      </w:pPr>
      <w:r w:rsidRPr="005E6C07">
        <w:rPr>
          <w:rFonts w:ascii="Calibri Light" w:hAnsi="Calibri Light"/>
          <w:b/>
          <w:sz w:val="22"/>
          <w:szCs w:val="22"/>
        </w:rPr>
        <w:t>SERVIÇO PÚBLICO FEDERAL</w:t>
      </w:r>
    </w:p>
    <w:p w:rsidR="006D37E7" w:rsidRPr="005E6C07" w:rsidRDefault="00566500" w:rsidP="006D37E7">
      <w:pPr>
        <w:widowControl w:val="0"/>
        <w:jc w:val="center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>MINISTÉRIO DA CULTURA</w:t>
      </w:r>
    </w:p>
    <w:p w:rsidR="006D37E7" w:rsidRPr="005E6C07" w:rsidRDefault="006D37E7" w:rsidP="006D37E7">
      <w:pPr>
        <w:widowControl w:val="0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5E6C07">
        <w:rPr>
          <w:rFonts w:ascii="Calibri Light" w:hAnsi="Calibri Light"/>
          <w:b/>
          <w:sz w:val="22"/>
          <w:szCs w:val="22"/>
        </w:rPr>
        <w:t>INSTITUTO DO PATRIMÔNIO HISTÓRICO E ARTÍSTICO NACIONAL</w:t>
      </w:r>
    </w:p>
    <w:p w:rsidR="006D37E7" w:rsidRPr="005E6C07" w:rsidRDefault="006D37E7" w:rsidP="006D37E7">
      <w:pPr>
        <w:widowControl w:val="0"/>
        <w:spacing w:before="240"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5E6C07">
        <w:rPr>
          <w:rFonts w:ascii="Calibri Light" w:hAnsi="Calibri Light" w:cs="Times New Roman"/>
          <w:b/>
          <w:bCs/>
          <w:color w:val="000000"/>
          <w:sz w:val="22"/>
          <w:szCs w:val="22"/>
        </w:rPr>
        <w:t>IPHAN/RS</w:t>
      </w:r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eastAsia="Trebuchet MS" w:hAnsi="Calibri Light" w:cs="Trebuchet MS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ANEXO </w:t>
      </w:r>
      <w:r w:rsidR="00D5149F">
        <w:rPr>
          <w:rFonts w:ascii="Calibri Light" w:hAnsi="Calibri Light" w:cs="Times New Roman"/>
          <w:b/>
          <w:bCs/>
          <w:color w:val="000000"/>
          <w:sz w:val="22"/>
          <w:szCs w:val="22"/>
        </w:rPr>
        <w:t>XII</w:t>
      </w:r>
      <w:r w:rsidR="00D03889">
        <w:rPr>
          <w:rFonts w:ascii="Calibri Light" w:hAnsi="Calibri Light" w:cs="Times New Roman"/>
          <w:b/>
          <w:bCs/>
          <w:color w:val="000000"/>
          <w:sz w:val="22"/>
          <w:szCs w:val="22"/>
        </w:rPr>
        <w:t>I</w:t>
      </w:r>
      <w:bookmarkStart w:id="0" w:name="_GoBack"/>
      <w:bookmarkEnd w:id="0"/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eastAsia="Trebuchet MS" w:hAnsi="Calibri Light" w:cs="Trebuchet MS"/>
          <w:b/>
          <w:bCs/>
          <w:color w:val="000000"/>
          <w:sz w:val="22"/>
          <w:szCs w:val="22"/>
        </w:rPr>
      </w:pPr>
      <w:r w:rsidRPr="005E6C07">
        <w:rPr>
          <w:rFonts w:ascii="Calibri Light" w:eastAsia="Trebuchet MS" w:hAnsi="Calibri Light" w:cs="Trebuchet MS"/>
          <w:b/>
          <w:bCs/>
          <w:color w:val="000000"/>
          <w:sz w:val="22"/>
          <w:szCs w:val="22"/>
        </w:rPr>
        <w:t xml:space="preserve">TERMO DE CONCILIAÇÃO JUDICIAL </w:t>
      </w:r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eastAsia="Trebuchet MS" w:hAnsi="Calibri Light" w:cs="Trebuchet MS"/>
          <w:b/>
          <w:bCs/>
          <w:color w:val="000000"/>
          <w:sz w:val="22"/>
          <w:szCs w:val="22"/>
        </w:rPr>
      </w:pPr>
      <w:r w:rsidRPr="005E6C07">
        <w:rPr>
          <w:rFonts w:ascii="Calibri Light" w:eastAsia="Trebuchet MS" w:hAnsi="Calibri Light" w:cs="Trebuchet MS"/>
          <w:b/>
          <w:bCs/>
          <w:color w:val="000000"/>
          <w:sz w:val="22"/>
          <w:szCs w:val="22"/>
        </w:rPr>
        <w:t>FIRMADO ENTRE O MINISTÉRIO PÚBLICO DO TRABALHO E A UNIÃO</w:t>
      </w:r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eastAsia="Trebuchet MS" w:hAnsi="Calibri Light" w:cs="Trebuchet MS"/>
          <w:b/>
          <w:bCs/>
          <w:color w:val="000000"/>
          <w:sz w:val="22"/>
          <w:szCs w:val="22"/>
        </w:rPr>
      </w:pPr>
    </w:p>
    <w:p w:rsidR="006D37E7" w:rsidRPr="005E6C07" w:rsidRDefault="006D37E7" w:rsidP="006D37E7">
      <w:pPr>
        <w:jc w:val="center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b/>
          <w:bCs/>
          <w:sz w:val="22"/>
          <w:szCs w:val="22"/>
        </w:rPr>
        <w:t>Termo de Conciliação Judicial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 xml:space="preserve">O MINISTÉRIO PÚBLICO DO TRABALHO, neste ato representado pelo Procurador-Geral do Trabalho, Dr. Guilherme Mastrichi Basso, pela Vice-Procuradora-Geral do Trabalho, Dra. Guiomar Rechia Gomes, pelo Procurador-Chefe da PRT da 10ª Região, Dr. Brasilino Santos Ramos e pelo Procurador do Trabalho Dr. Fábio Leal Cardoso, e a UNIÃO, neste ato representada pelo Procurador-Geral da União, Dr. Moacir Antonio da Silva Machado, pela Sub Procuradora Regional da União - 1ª Região, Dra. Helia Maria de Oliveira Bettero e pelo Advogado da União, Dr. Mário Luiz Guerreiro; 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CONSIDERANDO que a legislação consolidada em seu art. 9º, comina de nulidade absoluta todos os atos praticados com o intuito de desvirtuar, impedir ou fraudar a aplicação da lei trabalhista;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CONSIDERANDO que as sociedades cooperativas, segundo a Lei n. 5.764, de 16.12.1971, art. 4º, “(...) são sociedades de pessoas, com forma e natureza jurídica próprias, de natureza civil, não sujeitas à falência, constituídas para prestar serviços aos associados”.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CONSIDERANDO que as cooperativas podem prestar serviços a não associados somente em caráter excepcional e desde que tal faculdade atenda aos objetivos sociais previstos na sua norma estatutária, (art. 86, da Lei n. 5.764, de 16.12.1971), aspecto legal que revela a patente impossibilidade jurídica das cooperativas funcionarem como agências de locação de mão-de-obra terceirizada;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 xml:space="preserve">CONSIDERANDO que a administração pública está inexoravelmente jungida ao princípio da legalidade, e que a prática do </w:t>
      </w:r>
      <w:r w:rsidRPr="0019059B">
        <w:rPr>
          <w:rFonts w:ascii="Calibri Light" w:hAnsi="Calibri Light"/>
          <w:i/>
          <w:sz w:val="22"/>
          <w:szCs w:val="22"/>
        </w:rPr>
        <w:t xml:space="preserve">merchandage </w:t>
      </w:r>
      <w:r w:rsidRPr="005E6C07">
        <w:rPr>
          <w:rFonts w:ascii="Calibri Light" w:hAnsi="Calibri Light"/>
          <w:sz w:val="22"/>
          <w:szCs w:val="22"/>
        </w:rPr>
        <w:t>é vedada pelo art. 3º, da CLT e repelida pela jurisprudência sumulada do C. TST (En. 331);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 xml:space="preserve">CONSIDERANDO que os trabalhadores aliciados por cooperativas de mão-de-obra, que prestam serviços de natureza subordinada à UNIÃO embora laborem em situação fática idêntica a dos empregados das </w:t>
      </w:r>
      <w:r w:rsidRPr="005E6C07">
        <w:rPr>
          <w:rFonts w:ascii="Calibri Light" w:hAnsi="Calibri Light"/>
          <w:sz w:val="22"/>
          <w:szCs w:val="22"/>
        </w:rPr>
        <w:lastRenderedPageBreak/>
        <w:t xml:space="preserve">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(arts. 5º, caput e 1º, III e IV da Constituição Federal); 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CONSIDERANDO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art. 3º, da CLT na atividade de intermediação de mão-de-obra patrocinada por falsas cooperativas;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CONSIDERANDO o teor da Recomendação Para a Promoção das Cooperativas aprovada na 90ª sessão, da OIT – Organização Internacional do Trabalho, em junho de 2002, dispondo que os Estados devem implementar políticas nos sentido de: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 xml:space="preserve">“8.1.b Garantir que as cooperativas não sejam criadas para, ou direcionadas a, o não cumprimento das lei do trabalho ou usadas para estabelecer relações de emprego disfarçados, e combater pseudocooperativas que violam os direitos dos trabalhadores velando para que a lei trabalhista seja aplicada em todas as empresas.” </w:t>
      </w:r>
    </w:p>
    <w:p w:rsidR="006D37E7" w:rsidRPr="005E6C07" w:rsidRDefault="006D37E7" w:rsidP="006D37E7">
      <w:pPr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 xml:space="preserve">      RESOLVEM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Celebrar CONCILIAÇÃO nos autos do Processo 01082-2002-020-10-00-0, em tramitação perante a MM. Vigésima Vara do Trabalho de Brasília-DF, mediante os seguintes termos:</w:t>
      </w: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Cláusula Primeira - A UNIÃO abster-se-á de contratar trabalhadores, por meio de cooperativas de mão-de-obra,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</w:p>
    <w:p w:rsidR="006D37E7" w:rsidRPr="005E6C07" w:rsidRDefault="006D37E7" w:rsidP="006D37E7">
      <w:pPr>
        <w:pStyle w:val="WW-NormalWeb"/>
        <w:spacing w:before="0" w:after="0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a) -  Serviços de limpeza;</w:t>
      </w:r>
      <w:r w:rsidRPr="005E6C07">
        <w:rPr>
          <w:rFonts w:ascii="Calibri Light" w:hAnsi="Calibri Light"/>
          <w:sz w:val="22"/>
          <w:szCs w:val="22"/>
        </w:rPr>
        <w:br/>
        <w:t>b) – Serviços de conservação;</w:t>
      </w:r>
      <w:r w:rsidRPr="005E6C07">
        <w:rPr>
          <w:rFonts w:ascii="Calibri Light" w:hAnsi="Calibri Light"/>
          <w:sz w:val="22"/>
          <w:szCs w:val="22"/>
        </w:rPr>
        <w:br/>
        <w:t>c) – Serviços de segurança, de vigilância e de portaria;</w:t>
      </w:r>
      <w:r w:rsidRPr="005E6C07">
        <w:rPr>
          <w:rFonts w:ascii="Calibri Light" w:hAnsi="Calibri Light"/>
          <w:sz w:val="22"/>
          <w:szCs w:val="22"/>
        </w:rPr>
        <w:br/>
        <w:t>d) – Serviços de recepção;</w:t>
      </w:r>
      <w:r w:rsidRPr="005E6C07">
        <w:rPr>
          <w:rFonts w:ascii="Calibri Light" w:hAnsi="Calibri Light"/>
          <w:sz w:val="22"/>
          <w:szCs w:val="22"/>
        </w:rPr>
        <w:br/>
        <w:t>e) – Serviços de copeiragem;</w:t>
      </w:r>
      <w:r w:rsidRPr="005E6C07">
        <w:rPr>
          <w:rFonts w:ascii="Calibri Light" w:hAnsi="Calibri Light"/>
          <w:sz w:val="22"/>
          <w:szCs w:val="22"/>
        </w:rPr>
        <w:br/>
        <w:t>f) – Serviços de reprografia;</w:t>
      </w:r>
      <w:r w:rsidRPr="005E6C07">
        <w:rPr>
          <w:rFonts w:ascii="Calibri Light" w:hAnsi="Calibri Light"/>
          <w:sz w:val="22"/>
          <w:szCs w:val="22"/>
        </w:rPr>
        <w:br/>
        <w:t>g) – Serviços de telefonia;</w:t>
      </w:r>
      <w:r w:rsidRPr="005E6C07">
        <w:rPr>
          <w:rFonts w:ascii="Calibri Light" w:hAnsi="Calibri Light"/>
          <w:sz w:val="22"/>
          <w:szCs w:val="22"/>
        </w:rPr>
        <w:br/>
        <w:t>h) – Serviços de manutenção de prédios, de equipamentos, de veículos e de instalações;</w:t>
      </w:r>
      <w:r w:rsidRPr="005E6C07">
        <w:rPr>
          <w:rFonts w:ascii="Calibri Light" w:hAnsi="Calibri Light"/>
          <w:sz w:val="22"/>
          <w:szCs w:val="22"/>
        </w:rPr>
        <w:br/>
        <w:t>i) – Serviços de secretariado e secretariado executivo;</w:t>
      </w:r>
      <w:r w:rsidRPr="005E6C07">
        <w:rPr>
          <w:rFonts w:ascii="Calibri Light" w:hAnsi="Calibri Light"/>
          <w:sz w:val="22"/>
          <w:szCs w:val="22"/>
        </w:rPr>
        <w:br/>
        <w:t>j) – Serviços de auxiliar de escritório;</w:t>
      </w:r>
      <w:r w:rsidRPr="005E6C07">
        <w:rPr>
          <w:rFonts w:ascii="Calibri Light" w:hAnsi="Calibri Light"/>
          <w:sz w:val="22"/>
          <w:szCs w:val="22"/>
        </w:rPr>
        <w:br/>
        <w:t>k) – Serviços de auxiliar administrativo;</w:t>
      </w:r>
      <w:r w:rsidRPr="005E6C07">
        <w:rPr>
          <w:rFonts w:ascii="Calibri Light" w:hAnsi="Calibri Light"/>
          <w:sz w:val="22"/>
          <w:szCs w:val="22"/>
        </w:rPr>
        <w:br/>
        <w:t>l) – Serviços de office boy (contínuo);</w:t>
      </w:r>
      <w:r w:rsidRPr="005E6C07">
        <w:rPr>
          <w:rFonts w:ascii="Calibri Light" w:hAnsi="Calibri Light"/>
          <w:sz w:val="22"/>
          <w:szCs w:val="22"/>
        </w:rPr>
        <w:br/>
        <w:t>m) – Serviços de digitação;</w:t>
      </w:r>
      <w:r w:rsidRPr="005E6C07">
        <w:rPr>
          <w:rFonts w:ascii="Calibri Light" w:hAnsi="Calibri Light"/>
          <w:sz w:val="22"/>
          <w:szCs w:val="22"/>
        </w:rPr>
        <w:br/>
        <w:t>n) – Serviços de assessoria de imprensa e de relações públicas;</w:t>
      </w:r>
      <w:r w:rsidRPr="005E6C07">
        <w:rPr>
          <w:rFonts w:ascii="Calibri Light" w:hAnsi="Calibri Light"/>
          <w:sz w:val="22"/>
          <w:szCs w:val="22"/>
        </w:rPr>
        <w:br/>
        <w:t>o) – Serviços de motorista, no caso de os veículos serem fornecidos pelo próprio órgão licitante;</w:t>
      </w:r>
      <w:r w:rsidRPr="005E6C07">
        <w:rPr>
          <w:rFonts w:ascii="Calibri Light" w:hAnsi="Calibri Light"/>
          <w:sz w:val="22"/>
          <w:szCs w:val="22"/>
        </w:rPr>
        <w:br/>
        <w:t>p) – Serviços de ascensorista;</w:t>
      </w:r>
      <w:r w:rsidRPr="005E6C07">
        <w:rPr>
          <w:rFonts w:ascii="Calibri Light" w:hAnsi="Calibri Light"/>
          <w:sz w:val="22"/>
          <w:szCs w:val="22"/>
        </w:rPr>
        <w:br/>
        <w:t>q) – Serviços de enfermagem; e</w:t>
      </w:r>
      <w:r w:rsidRPr="005E6C07">
        <w:rPr>
          <w:rFonts w:ascii="Calibri Light" w:hAnsi="Calibri Light"/>
          <w:sz w:val="22"/>
          <w:szCs w:val="22"/>
        </w:rPr>
        <w:br/>
        <w:t>r) – Serviços de agentes comunitários de saúde.</w:t>
      </w: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Parágrafo Primeiro – O disposto nesta Cláusula não autoriza outras formas de terceirização sem previsão legal.</w:t>
      </w: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Parágrafo Segundo – As partes podem, a qualquer momento, mediante comunicação e acordos prévios, ampliar o rol de serviços elencados no caput.</w:t>
      </w: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</w:p>
    <w:p w:rsidR="006D37E7" w:rsidRPr="005E6C07" w:rsidRDefault="006D37E7" w:rsidP="006D37E7">
      <w:pPr>
        <w:pStyle w:val="WW-NormalWeb"/>
        <w:spacing w:before="0" w:after="0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 xml:space="preserve">Cláusula Segunda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 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Cláusula Terceira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Parágrafo Primeiro - É lícita a contratação de genuínas sociedades cooperativas desde que os serviços licitados não estejam incluídos no rol inserido nas alíneas “a” a “r”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 w:rsidR="006D37E7" w:rsidRPr="005E6C07" w:rsidRDefault="006D37E7" w:rsidP="006D37E7">
      <w:pPr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DAS SANÇÕES PELO DESCUMPRIMENTO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Cláusula Quarta – A UNIÃO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 xml:space="preserve">Parágrafo Primeiro 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 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Parágrafo Segundo – Em caso de notícia de descumprimento dos termos firmados neste ajuste, a UNIÃO, depois de intimada, terá prazo de 20 (vinte) dias para apresentar sua justificativa perante o Ministério Público do Trabalho.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DA EXTENSÃO DO AJUSTE À ADMINISTRAÇÃO PÚBLICA INDIRETA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Cláusula Quinta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DA HOMOLOGAÇÃO JUDICIAL DO AJUSTE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Cláusula Sexta – - As partes submetem os termos da presente conciliação à homologação do Juízo da MM. Vigésima Vara do Trabalho, para que o ajuste gere os seus efeitos jurídicos.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Cláusula Sétima - Os termos da presente avença gerarão seus efeitos jurídicos a partir da data de sua homologação judicial.</w:t>
      </w:r>
    </w:p>
    <w:p w:rsidR="006D37E7" w:rsidRPr="005E6C07" w:rsidRDefault="006D37E7" w:rsidP="006D37E7">
      <w:pPr>
        <w:pStyle w:val="WW-NormalWeb"/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Parágrafo único – Os contratos em vigor entre a UNIÃO e as Cooperativas, que contrariem o presente acordo, não serão renovados ou prorrogados.</w:t>
      </w:r>
    </w:p>
    <w:p w:rsidR="006D37E7" w:rsidRPr="005E6C07" w:rsidRDefault="006D37E7" w:rsidP="006D37E7">
      <w:pPr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Cláusula Oitava -A presente conciliação extingue o processo com exame do mérito apenas em relação à UNIÃO, prosseguindo o feito quanto aos demais réus.</w:t>
      </w:r>
      <w:r w:rsidRPr="005E6C07">
        <w:rPr>
          <w:rFonts w:ascii="Calibri Light" w:hAnsi="Calibri Light"/>
          <w:sz w:val="22"/>
          <w:szCs w:val="22"/>
        </w:rPr>
        <w:br/>
      </w:r>
    </w:p>
    <w:p w:rsidR="006D37E7" w:rsidRPr="005E6C07" w:rsidRDefault="006D37E7" w:rsidP="006D37E7">
      <w:pPr>
        <w:jc w:val="both"/>
        <w:rPr>
          <w:rFonts w:ascii="Calibri Light" w:hAnsi="Calibri Light"/>
          <w:sz w:val="22"/>
          <w:szCs w:val="22"/>
        </w:rPr>
      </w:pPr>
      <w:r w:rsidRPr="005E6C07">
        <w:rPr>
          <w:rFonts w:ascii="Calibri Light" w:hAnsi="Calibri Light"/>
          <w:sz w:val="22"/>
          <w:szCs w:val="22"/>
        </w:rPr>
        <w:t>Dito isto, por estarem as partes ajustadas e compromissadas, firmam a presente conciliação em cinco vias, a qual terá eficácia de título judicial, nos termos dos artigos 831, parágrafo único, e 876, caput, da CLT.</w:t>
      </w:r>
      <w:r w:rsidRPr="005E6C07">
        <w:rPr>
          <w:rFonts w:ascii="Calibri Light" w:hAnsi="Calibri Light"/>
          <w:sz w:val="22"/>
          <w:szCs w:val="22"/>
        </w:rPr>
        <w:br/>
      </w:r>
    </w:p>
    <w:p w:rsidR="006D37E7" w:rsidRPr="005E6C07" w:rsidRDefault="006D37E7" w:rsidP="006D37E7">
      <w:pPr>
        <w:jc w:val="center"/>
        <w:rPr>
          <w:rFonts w:ascii="Calibri Light" w:hAnsi="Calibri Light"/>
          <w:sz w:val="22"/>
          <w:szCs w:val="22"/>
        </w:rPr>
      </w:pPr>
    </w:p>
    <w:p w:rsidR="006D37E7" w:rsidRPr="006A1AD0" w:rsidRDefault="006D37E7" w:rsidP="006D37E7">
      <w:pPr>
        <w:rPr>
          <w:color w:val="000000"/>
        </w:rPr>
      </w:pPr>
    </w:p>
    <w:p w:rsidR="00934954" w:rsidRDefault="00D03889"/>
    <w:sectPr w:rsidR="00934954" w:rsidSect="00F35F61">
      <w:footerReference w:type="default" r:id="rId7"/>
      <w:footerReference w:type="first" r:id="rId8"/>
      <w:pgSz w:w="11906" w:h="16838"/>
      <w:pgMar w:top="1440" w:right="1077" w:bottom="1440" w:left="1418" w:header="720" w:footer="1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273" w:rsidRDefault="00034273">
      <w:r>
        <w:separator/>
      </w:r>
    </w:p>
  </w:endnote>
  <w:endnote w:type="continuationSeparator" w:id="0">
    <w:p w:rsidR="00034273" w:rsidRDefault="0003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C07" w:rsidRDefault="006D37E7">
    <w:pPr>
      <w:pStyle w:val="Rodap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03889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C07" w:rsidRDefault="00D0388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273" w:rsidRDefault="00034273">
      <w:r>
        <w:separator/>
      </w:r>
    </w:p>
  </w:footnote>
  <w:footnote w:type="continuationSeparator" w:id="0">
    <w:p w:rsidR="00034273" w:rsidRDefault="00034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E7"/>
    <w:rsid w:val="00034273"/>
    <w:rsid w:val="001070E2"/>
    <w:rsid w:val="00276CE5"/>
    <w:rsid w:val="002B2269"/>
    <w:rsid w:val="00423C1F"/>
    <w:rsid w:val="00566500"/>
    <w:rsid w:val="0059090E"/>
    <w:rsid w:val="006D37E7"/>
    <w:rsid w:val="007A6436"/>
    <w:rsid w:val="007E6B86"/>
    <w:rsid w:val="00884008"/>
    <w:rsid w:val="008C673C"/>
    <w:rsid w:val="0098688A"/>
    <w:rsid w:val="009F0B5C"/>
    <w:rsid w:val="00B21ACB"/>
    <w:rsid w:val="00B4114E"/>
    <w:rsid w:val="00CE205E"/>
    <w:rsid w:val="00D03889"/>
    <w:rsid w:val="00D5149F"/>
    <w:rsid w:val="00F7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D1CA"/>
  <w15:docId w15:val="{F660844F-45FA-4C01-B58C-6CB9D0DF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7E7"/>
    <w:pPr>
      <w:suppressAutoHyphens/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6D37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D37E7"/>
    <w:rPr>
      <w:rFonts w:ascii="Ecofont_Spranq_eco_Sans" w:eastAsia="Times New Roman" w:hAnsi="Ecofont_Spranq_eco_Sans" w:cs="Tahoma"/>
      <w:sz w:val="24"/>
      <w:szCs w:val="24"/>
      <w:lang w:eastAsia="zh-CN"/>
    </w:rPr>
  </w:style>
  <w:style w:type="paragraph" w:customStyle="1" w:styleId="WW-NormalWeb">
    <w:name w:val="WW-Normal (Web)"/>
    <w:basedOn w:val="Normal"/>
    <w:rsid w:val="006D37E7"/>
    <w:pPr>
      <w:spacing w:before="280" w:after="28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9090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090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1559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Rolim Serafini</dc:creator>
  <cp:lastModifiedBy>Marcia Rolim Serafini</cp:lastModifiedBy>
  <cp:revision>6</cp:revision>
  <dcterms:created xsi:type="dcterms:W3CDTF">2020-11-20T19:44:00Z</dcterms:created>
  <dcterms:modified xsi:type="dcterms:W3CDTF">2023-10-20T17:07:00Z</dcterms:modified>
</cp:coreProperties>
</file>